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EB" w:rsidRDefault="003200EB" w:rsidP="003200E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200EB" w:rsidRPr="00C055D2" w:rsidRDefault="003200EB" w:rsidP="003200EB">
      <w:pPr>
        <w:shd w:val="clear" w:color="auto" w:fill="FFFFFF"/>
        <w:spacing w:after="0" w:line="240" w:lineRule="auto"/>
        <w:ind w:firstLine="5245"/>
        <w:contextualSpacing/>
        <w:mirrorIndents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200EB" w:rsidRPr="00C055D2" w:rsidRDefault="003200EB" w:rsidP="003200EB">
      <w:pPr>
        <w:shd w:val="clear" w:color="auto" w:fill="FFFFFF"/>
        <w:spacing w:after="0" w:line="240" w:lineRule="auto"/>
        <w:ind w:firstLine="5245"/>
        <w:contextualSpacing/>
        <w:mirrorIndents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lang w:val="uk-UA"/>
        </w:rPr>
        <w:t xml:space="preserve">Наказом керівника апарату </w:t>
      </w:r>
    </w:p>
    <w:p w:rsidR="003200EB" w:rsidRPr="00C055D2" w:rsidRDefault="003200EB" w:rsidP="003200EB">
      <w:pPr>
        <w:shd w:val="clear" w:color="auto" w:fill="FFFFFF"/>
        <w:spacing w:after="0" w:line="240" w:lineRule="auto"/>
        <w:ind w:firstLine="5245"/>
        <w:contextualSpacing/>
        <w:mirrorIndents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lang w:val="uk-UA"/>
        </w:rPr>
        <w:t>Новотроїцького районного суду</w:t>
      </w:r>
    </w:p>
    <w:p w:rsidR="003200EB" w:rsidRPr="00C055D2" w:rsidRDefault="003200EB" w:rsidP="003200EB">
      <w:pPr>
        <w:shd w:val="clear" w:color="auto" w:fill="FFFFFF"/>
        <w:spacing w:after="0" w:line="240" w:lineRule="auto"/>
        <w:ind w:firstLine="5245"/>
        <w:contextualSpacing/>
        <w:mirrorIndents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lang w:val="uk-UA"/>
        </w:rPr>
        <w:t>Херсонської області</w:t>
      </w:r>
    </w:p>
    <w:p w:rsidR="003200EB" w:rsidRPr="00C055D2" w:rsidRDefault="003200EB" w:rsidP="003200EB">
      <w:pPr>
        <w:shd w:val="clear" w:color="auto" w:fill="FFFFFF"/>
        <w:spacing w:after="0" w:line="240" w:lineRule="auto"/>
        <w:ind w:firstLine="5245"/>
        <w:contextualSpacing/>
        <w:mirrorIndents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u w:val="single"/>
          <w:lang w:val="uk-UA"/>
        </w:rPr>
        <w:t>від 18.02.2019</w:t>
      </w:r>
      <w:r w:rsidRPr="00C055D2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 xml:space="preserve"> року </w:t>
      </w:r>
      <w:r w:rsidRPr="00C055D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C055D2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 02-07/3</w:t>
      </w:r>
    </w:p>
    <w:p w:rsidR="003200EB" w:rsidRPr="00C055D2" w:rsidRDefault="003200EB" w:rsidP="003200EB">
      <w:pPr>
        <w:shd w:val="clear" w:color="auto" w:fill="FFFFFF"/>
        <w:spacing w:after="0" w:line="240" w:lineRule="auto"/>
        <w:ind w:firstLine="3121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3200EB" w:rsidRPr="00C055D2" w:rsidRDefault="003200EB" w:rsidP="003200EB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C055D2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  <w:r w:rsidRPr="00C055D2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проведення конкурсу</w:t>
      </w:r>
    </w:p>
    <w:p w:rsidR="003200EB" w:rsidRPr="00C055D2" w:rsidRDefault="003200EB" w:rsidP="003200EB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5D2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зайняття вакантної посади державної служби (категорії - В) – секретаря Новотроїцького районного суду Херсонської області</w:t>
      </w:r>
    </w:p>
    <w:p w:rsidR="003200EB" w:rsidRPr="00C055D2" w:rsidRDefault="003200EB" w:rsidP="003200EB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85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3200EB" w:rsidRPr="00C055D2" w:rsidTr="00FE7917">
        <w:trPr>
          <w:trHeight w:val="5749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умови</w:t>
            </w:r>
          </w:p>
          <w:tbl>
            <w:tblPr>
              <w:tblW w:w="9359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40"/>
              <w:gridCol w:w="2479"/>
              <w:gridCol w:w="346"/>
              <w:gridCol w:w="5894"/>
            </w:tblGrid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Посадові обов’язки: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 xml:space="preserve">Веде первинний облік справ і матеріалів про адміністративні правопорушення , забезпечує заповнення обліково-статистичних карток в електронному вигляді. 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 xml:space="preserve">Виконує вимоги Інструкції з діловодства та забезпечує зберігання судових справ та інших матеріалів про адміністративні правопорушення. 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 xml:space="preserve">Здійснює підготовку судових справ із скаргами, поданнями для надіслання до судів вищих інстанцій. 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Здійснює своєчасне звернення судових рішень до виконання відповідно до своїх функціональних обов’язків, контролює надходження від органів, що виконують судові рішення, повідомлень про їх виконання.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Здійснює облік виконавчих документів відповідно до своїх функціональних обов’язків.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Складає за встановленими формами статистичні звіти про результати розгляду справ відповідно до своїх функціональних обов’язків.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Надає пропозиції щодо складання номенклатури справ суду.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Перед прийняттям у секретарів судового засідання судових справ до канцелярії, після їх розгляду по суті,здійснює перевірку щодо повноти відображення відомостей в обліково-статистичних картках в системі документообігу суду, проводить перевірку відповідності документів у судових справах, згідно опису справи.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 xml:space="preserve">Здійснює підготовку та передачу до архіву суду судових справ за минулі роки, провадження у яких закінчено, а також іншу документацію, що стосується розгляду справ за минулі роки, відповідно до своїх функціональних обов’язків. 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Здійснює видачу копій судових рішень, інших документів по справах, які зберігаються в канцелярії суду відповідно до своїх функціональних обов’язків.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Вносить достовірні відомості до автоматизованої системи документообігу суду відповідно до своїх наданих прав та функціональних обов’язків, згідно Положення про автоматизовану систему документообігу суду.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Здійснює проставляння в Системі документообігу суду дати набрання судовими рішеннями законної сили.</w:t>
                  </w:r>
                </w:p>
                <w:p w:rsidR="003200EB" w:rsidRPr="00C055D2" w:rsidRDefault="003200EB" w:rsidP="00FE7917">
                  <w:pPr>
                    <w:pStyle w:val="a5"/>
                    <w:spacing w:before="0" w:beforeAutospacing="0" w:after="0" w:afterAutospacing="0"/>
                    <w:ind w:firstLine="319"/>
                    <w:contextualSpacing/>
                    <w:mirrorIndents/>
                    <w:jc w:val="both"/>
                  </w:pPr>
                  <w:r w:rsidRPr="00C055D2">
                    <w:t>Виконує доручення голови суду, керівника апарату суду та старшого секретаря суду щодо організації роботи канцелярії суду.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ind w:firstLine="332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Згідно зі штатним розписом.</w:t>
                  </w:r>
                </w:p>
              </w:tc>
            </w:tr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Інформація про строковість чи безстроковість призначення на посаду: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Призначення на вакантну посаду безстроково.</w:t>
                  </w:r>
                </w:p>
              </w:tc>
            </w:tr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Перелік документів, необхідних для участі в конкурсі, та строк їх подання: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OLE_LINK1"/>
                  <w:bookmarkStart w:id="1" w:name="OLE_LINK2"/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 Копія паспорта громадянина України.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 Письмова заява про участь у конкурсі із зазначенням основних мотивів щодо зайняття посади державної служби (за формою відповідно до додатку 2 до постанови Кабінету Міністрів України Про затвердження Порядку проведення конкурсу на зайняття посад державної служби                                                  від 25.03.2016 року № 246), до якої додається резюме у довільній формі.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3. Письмова заява, в якій повідомляється, що до неї не застосовуються заборони, визначені </w:t>
                  </w:r>
                  <w:hyperlink r:id="rId5" w:anchor="n13" w:history="1">
                    <w:r w:rsidRPr="00C055D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частиною третьою</w:t>
                    </w:r>
                  </w:hyperlink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або </w:t>
                  </w:r>
                  <w:hyperlink r:id="rId6" w:anchor="n14" w:history="1">
                    <w:r w:rsidRPr="00C055D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четвертою</w:t>
                    </w:r>
                  </w:hyperlink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4. Копія (копії) документа (документів) про освіту.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5. </w:t>
                  </w: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Оригінал посвідчення атестації щодо вільного володіння державною мовою.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6. Заповнена особова картка встановленого зразка.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7. Декларація особи, уповноваженої на виконання функцій держави або місцевого самоврядування, за минулий рік.</w:t>
                  </w:r>
                  <w:bookmarkEnd w:id="0"/>
                  <w:bookmarkEnd w:id="1"/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Термін прийняття документів – </w:t>
                  </w:r>
                  <w:r w:rsidRPr="00C055D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 17-00 години                       11 березня 2019 року</w:t>
                  </w: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Місце, час та дата початку проведення конкурсу: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Новотроїцький  районний суд Херсонської області, селище Новотроїцьке, вул. Соборна, 87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10 година,  14 березня 2019 року </w:t>
                  </w:r>
                </w:p>
              </w:tc>
            </w:tr>
            <w:tr w:rsidR="003200EB" w:rsidRPr="00C055D2" w:rsidTr="00FE7917">
              <w:trPr>
                <w:trHeight w:val="130"/>
                <w:tblCellSpacing w:w="0" w:type="dxa"/>
              </w:trPr>
              <w:tc>
                <w:tcPr>
                  <w:tcW w:w="9356" w:type="dxa"/>
                  <w:gridSpan w:val="4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2" w:name="_GoBack"/>
                  <w:bookmarkEnd w:id="2"/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3200EB" w:rsidRPr="00C055D2" w:rsidTr="00FE7917">
              <w:trPr>
                <w:tblCellSpacing w:w="0" w:type="dxa"/>
              </w:trPr>
              <w:tc>
                <w:tcPr>
                  <w:tcW w:w="311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</w:p>
              </w:tc>
              <w:tc>
                <w:tcPr>
                  <w:tcW w:w="62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0EB" w:rsidRPr="00C055D2" w:rsidRDefault="003200EB" w:rsidP="00FE7917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Фіщук Наталя Анатоліївна</w:t>
                  </w:r>
                </w:p>
                <w:p w:rsidR="003200EB" w:rsidRPr="00C055D2" w:rsidRDefault="003200EB" w:rsidP="00FE7917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тел. 05548 5-20-58</w:t>
                  </w:r>
                </w:p>
                <w:p w:rsidR="003200EB" w:rsidRPr="00C055D2" w:rsidRDefault="003200EB" w:rsidP="00FE7917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 </w:t>
                  </w:r>
                  <w:proofErr w:type="spellStart"/>
                  <w:r w:rsidRPr="00C055D2">
                    <w:rPr>
                      <w:rFonts w:ascii="Times New Roman" w:hAnsi="Times New Roman" w:cs="Times New Roman"/>
                      <w:color w:val="545454"/>
                      <w:sz w:val="24"/>
                      <w:szCs w:val="24"/>
                      <w:shd w:val="clear" w:color="auto" w:fill="FFFFFF"/>
                      <w:lang w:val="uk-UA"/>
                    </w:rPr>
                    <w:t>email</w:t>
                  </w:r>
                  <w:proofErr w:type="spellEnd"/>
                  <w:r w:rsidRPr="00C055D2">
                    <w:rPr>
                      <w:rFonts w:ascii="Times New Roman" w:hAnsi="Times New Roman" w:cs="Times New Roman"/>
                      <w:color w:val="545454"/>
                      <w:sz w:val="24"/>
                      <w:szCs w:val="24"/>
                      <w:shd w:val="clear" w:color="auto" w:fill="FFFFFF"/>
                      <w:lang w:val="uk-UA"/>
                    </w:rPr>
                    <w:t>:</w:t>
                  </w: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C055D2">
                    <w:rPr>
                      <w:rFonts w:ascii="Times New Roman" w:hAnsi="Times New Roman" w:cs="Times New Roman"/>
                      <w:color w:val="3A3A3A"/>
                      <w:sz w:val="24"/>
                      <w:szCs w:val="24"/>
                      <w:shd w:val="clear" w:color="auto" w:fill="FFFFFF"/>
                    </w:rPr>
                    <w:t>inbox@nt.ks.court.gov.ua</w:t>
                  </w:r>
                </w:p>
              </w:tc>
            </w:tr>
            <w:tr w:rsidR="003200EB" w:rsidRPr="00C055D2" w:rsidTr="00FE7917">
              <w:tblPrEx>
                <w:shd w:val="clear" w:color="auto" w:fill="FFFFFF"/>
              </w:tblPrEx>
              <w:trPr>
                <w:trHeight w:val="700"/>
                <w:tblCellSpacing w:w="0" w:type="dxa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3200EB" w:rsidTr="00FE7917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5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Вища освіта з освітньо-кваліфікаційним рівнем молодшого бакалавра або бакалавра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5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Без вимог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</w:tc>
              <w:tc>
                <w:tcPr>
                  <w:tcW w:w="5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</w:tbl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5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Вимоги до компетентності</w:t>
            </w: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2835"/>
              <w:gridCol w:w="5103"/>
            </w:tblGrid>
            <w:tr w:rsidR="003200EB" w:rsidRPr="00C055D2" w:rsidTr="00FE791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ind w:left="-57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Командна робота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вміння працювати в команді;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орієнтація на командній результат;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- відкритість в обміні інформацією;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Комунікація та взаємодія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вміння вирішувати комплексні завдання;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вміння ефективно слухати та сприймати думку;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Стресостійкість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вміння працювати в стресових ситуаціях;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вміння обробляти великий обсяг інформації;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62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Управління організацією роботи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системність і самостійність в роботі;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наполегливість в роботі;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самоорганізація та орієнтація на розвиток;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ініціативність в роботі;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62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вміння сприймати, та виконувати нові інформаційні технології;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C055D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вміння використовувати офісну техніку; 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05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tbl>
            <w:tblPr>
              <w:tblW w:w="4855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621"/>
              <w:gridCol w:w="2742"/>
              <w:gridCol w:w="5721"/>
            </w:tblGrid>
            <w:tr w:rsidR="003200EB" w:rsidRPr="00C055D2" w:rsidTr="00FE7917">
              <w:trPr>
                <w:trHeight w:val="284"/>
                <w:tblCellSpacing w:w="0" w:type="dxa"/>
              </w:trPr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ind w:left="-570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3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200EB" w:rsidRPr="00C055D2" w:rsidTr="00FE7917">
              <w:trPr>
                <w:trHeight w:val="844"/>
                <w:tblCellSpacing w:w="0" w:type="dxa"/>
              </w:trPr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1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</w:tc>
              <w:tc>
                <w:tcPr>
                  <w:tcW w:w="3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Конституції України;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Закону України «Про державну службу»;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Закону України «Про запобігання корупції»;</w:t>
                  </w:r>
                </w:p>
              </w:tc>
            </w:tr>
            <w:tr w:rsidR="003200EB" w:rsidRPr="003200EB" w:rsidTr="00FE7917">
              <w:trPr>
                <w:trHeight w:val="4962"/>
                <w:tblCellSpacing w:w="0" w:type="dxa"/>
              </w:trPr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1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Знання спеціального законодавств,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31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-КУпАП</w:t>
                  </w:r>
                  <w:proofErr w:type="spellEnd"/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, КПК, ЦПК, та інших кодексів України;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Закону України "Про судоустрій і статус суддів" та інших закони України;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рішень Конституційного Суду України;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- актів Президента України, Верховної Ради України та Кабінету Міністрів України; 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актів законодавства та нормативних документів, що регламентують діяльність судових органів;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Положення про ДСА України, Положення про ТУ ДСА, - постанов колегії, наказів, інструкцій та рекомендації ДСА України та відповідного ТУ ДСА;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Положення про автоматизовану систему документообігу суду;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інших нормативно-правових актів;</w:t>
                  </w:r>
                </w:p>
                <w:p w:rsidR="003200EB" w:rsidRPr="00C055D2" w:rsidRDefault="003200EB" w:rsidP="00FE7917">
                  <w:pPr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055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 Інструкції з діловодства у місцевих загальних судах, апеляційних судах областей, апеляційних судах міст Києва і Севастополя, апеляційному суді Автономної республіки Крим та Вищому спеціалізованому суді України з розгляду цивільних і кримінальних справ.</w:t>
                  </w:r>
                </w:p>
              </w:tc>
            </w:tr>
          </w:tbl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</w:t>
            </w: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Новотроїцького районного суду</w:t>
            </w:r>
            <w:r w:rsidRPr="00C05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C05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C05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     І.М. Карецька</w:t>
            </w: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0EB" w:rsidRPr="00C055D2" w:rsidRDefault="003200EB" w:rsidP="00FE79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555577"/>
                <w:sz w:val="24"/>
                <w:szCs w:val="24"/>
                <w:lang w:val="uk-UA"/>
              </w:rPr>
            </w:pPr>
          </w:p>
        </w:tc>
      </w:tr>
    </w:tbl>
    <w:p w:rsidR="003200EB" w:rsidRPr="00C055D2" w:rsidRDefault="003200EB" w:rsidP="003200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2F84" w:rsidRDefault="008E2F84"/>
    <w:sectPr w:rsidR="008E2F84" w:rsidSect="00864E0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76B"/>
    <w:multiLevelType w:val="hybridMultilevel"/>
    <w:tmpl w:val="DEC23274"/>
    <w:lvl w:ilvl="0" w:tplc="FEB2A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44BA"/>
    <w:multiLevelType w:val="hybridMultilevel"/>
    <w:tmpl w:val="7ABAC690"/>
    <w:lvl w:ilvl="0" w:tplc="6A52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00EB"/>
    <w:rsid w:val="003200EB"/>
    <w:rsid w:val="008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EB"/>
    <w:pPr>
      <w:ind w:left="720"/>
      <w:contextualSpacing/>
    </w:pPr>
  </w:style>
  <w:style w:type="character" w:customStyle="1" w:styleId="apple-converted-space">
    <w:name w:val="apple-converted-space"/>
    <w:basedOn w:val="a0"/>
    <w:rsid w:val="003200EB"/>
  </w:style>
  <w:style w:type="character" w:styleId="a4">
    <w:name w:val="Hyperlink"/>
    <w:rsid w:val="003200EB"/>
    <w:rPr>
      <w:color w:val="0000FF"/>
      <w:u w:val="single"/>
    </w:rPr>
  </w:style>
  <w:style w:type="paragraph" w:styleId="a5">
    <w:name w:val="Normal (Web)"/>
    <w:basedOn w:val="a"/>
    <w:rsid w:val="0032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2019-02-18T08:18:00Z</dcterms:created>
  <dcterms:modified xsi:type="dcterms:W3CDTF">2019-02-18T08:21:00Z</dcterms:modified>
</cp:coreProperties>
</file>